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30" w:rsidRDefault="00640F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</w:pPr>
      <w:r>
        <w:t>Зарегистрировано в Минюсте России 25 августа 2014 г. N 33836</w:t>
      </w:r>
    </w:p>
    <w:p w:rsidR="00640F30" w:rsidRDefault="00640F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40F30" w:rsidRDefault="00640F30">
      <w:pPr>
        <w:pStyle w:val="ConsPlusTitle"/>
        <w:jc w:val="center"/>
      </w:pPr>
    </w:p>
    <w:p w:rsidR="00640F30" w:rsidRDefault="00640F30">
      <w:pPr>
        <w:pStyle w:val="ConsPlusTitle"/>
        <w:jc w:val="center"/>
      </w:pPr>
      <w:r>
        <w:t>ПРИКАЗ</w:t>
      </w:r>
    </w:p>
    <w:p w:rsidR="00640F30" w:rsidRDefault="00640F30">
      <w:pPr>
        <w:pStyle w:val="ConsPlusTitle"/>
        <w:jc w:val="center"/>
      </w:pPr>
      <w:r>
        <w:t>от 30 июля 2014 г. N 867</w:t>
      </w:r>
    </w:p>
    <w:p w:rsidR="00640F30" w:rsidRDefault="00640F30">
      <w:pPr>
        <w:pStyle w:val="ConsPlusTitle"/>
        <w:jc w:val="center"/>
      </w:pPr>
    </w:p>
    <w:p w:rsidR="00640F30" w:rsidRDefault="00640F30">
      <w:pPr>
        <w:pStyle w:val="ConsPlusTitle"/>
        <w:jc w:val="center"/>
      </w:pPr>
      <w:r>
        <w:t>ОБ УТВЕРЖДЕНИИ</w:t>
      </w:r>
    </w:p>
    <w:p w:rsidR="00640F30" w:rsidRDefault="00640F3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40F30" w:rsidRDefault="00640F30">
      <w:pPr>
        <w:pStyle w:val="ConsPlusTitle"/>
        <w:jc w:val="center"/>
      </w:pPr>
      <w:r>
        <w:t>ВЫСШЕГО ОБРАЗОВАНИЯ ПО НАПРАВЛЕНИЮ ПОДГОТОВКИ 03.06.01</w:t>
      </w:r>
    </w:p>
    <w:p w:rsidR="00640F30" w:rsidRDefault="00640F30">
      <w:pPr>
        <w:pStyle w:val="ConsPlusTitle"/>
        <w:jc w:val="center"/>
      </w:pPr>
      <w:proofErr w:type="gramStart"/>
      <w:r>
        <w:t>ФИЗИКА И АСТРОНОМИЯ (УРОВЕНЬ ПОДГОТОВКИ КАДРОВ</w:t>
      </w:r>
      <w:proofErr w:type="gramEnd"/>
    </w:p>
    <w:p w:rsidR="00640F30" w:rsidRDefault="00640F30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640F30" w:rsidRDefault="00640F30">
      <w:pPr>
        <w:pStyle w:val="ConsPlusNormal"/>
        <w:jc w:val="center"/>
      </w:pPr>
      <w:r>
        <w:t>Список изменяющих документов</w:t>
      </w:r>
    </w:p>
    <w:p w:rsidR="00640F30" w:rsidRDefault="00640F3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jc w:val="center"/>
      </w:pPr>
    </w:p>
    <w:p w:rsidR="00640F30" w:rsidRDefault="00640F3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640F30" w:rsidRDefault="00640F3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03.06.01 Физика и астрономия (уровень подготовки кадров высшей квалификации).</w:t>
      </w:r>
    </w:p>
    <w:p w:rsidR="00640F30" w:rsidRDefault="00640F30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right"/>
      </w:pPr>
      <w:r>
        <w:t>Министр</w:t>
      </w:r>
    </w:p>
    <w:p w:rsidR="00640F30" w:rsidRDefault="00640F30">
      <w:pPr>
        <w:pStyle w:val="ConsPlusNormal"/>
        <w:jc w:val="right"/>
      </w:pPr>
      <w:r>
        <w:t>Д.В.ЛИВАНОВ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right"/>
      </w:pPr>
      <w:r>
        <w:t>Приложение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right"/>
      </w:pPr>
      <w:r>
        <w:t>Утвержден</w:t>
      </w:r>
    </w:p>
    <w:p w:rsidR="00640F30" w:rsidRDefault="00640F30">
      <w:pPr>
        <w:pStyle w:val="ConsPlusNormal"/>
        <w:jc w:val="right"/>
      </w:pPr>
      <w:r>
        <w:t>приказом Министерства образования</w:t>
      </w:r>
    </w:p>
    <w:p w:rsidR="00640F30" w:rsidRDefault="00640F30">
      <w:pPr>
        <w:pStyle w:val="ConsPlusNormal"/>
        <w:jc w:val="right"/>
      </w:pPr>
      <w:r>
        <w:t>и науки Российской Федерации</w:t>
      </w:r>
    </w:p>
    <w:p w:rsidR="00640F30" w:rsidRDefault="00640F30">
      <w:pPr>
        <w:pStyle w:val="ConsPlusNormal"/>
        <w:jc w:val="right"/>
      </w:pPr>
      <w:r>
        <w:t>от 30 июля 2014 г. N 867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40F30" w:rsidRDefault="00640F30">
      <w:pPr>
        <w:pStyle w:val="ConsPlusTitle"/>
        <w:jc w:val="center"/>
      </w:pPr>
      <w:r>
        <w:t>ВЫСШЕГО ОБРАЗОВАНИЯ</w:t>
      </w:r>
    </w:p>
    <w:p w:rsidR="00640F30" w:rsidRDefault="00640F30">
      <w:pPr>
        <w:pStyle w:val="ConsPlusTitle"/>
        <w:jc w:val="center"/>
      </w:pPr>
    </w:p>
    <w:p w:rsidR="00640F30" w:rsidRDefault="00640F30">
      <w:pPr>
        <w:pStyle w:val="ConsPlusTitle"/>
        <w:jc w:val="center"/>
      </w:pPr>
      <w:r>
        <w:t>УРОВЕНЬ ВЫСШЕГО ОБРАЗОВАНИЯ</w:t>
      </w:r>
    </w:p>
    <w:p w:rsidR="00640F30" w:rsidRDefault="00640F30">
      <w:pPr>
        <w:pStyle w:val="ConsPlusTitle"/>
        <w:jc w:val="center"/>
      </w:pPr>
      <w:r>
        <w:t>ПОДГОТОВКА КАДРОВ ВЫСШЕЙ КВАЛИФИКАЦИИ</w:t>
      </w:r>
    </w:p>
    <w:p w:rsidR="00640F30" w:rsidRDefault="00640F30">
      <w:pPr>
        <w:pStyle w:val="ConsPlusTitle"/>
        <w:jc w:val="center"/>
      </w:pPr>
    </w:p>
    <w:p w:rsidR="00640F30" w:rsidRDefault="00640F30">
      <w:pPr>
        <w:pStyle w:val="ConsPlusTitle"/>
        <w:jc w:val="center"/>
      </w:pPr>
      <w:r>
        <w:t>НАПРАВЛЕНИЕ ПОДГОТОВКИ</w:t>
      </w:r>
    </w:p>
    <w:p w:rsidR="00640F30" w:rsidRDefault="00640F30">
      <w:pPr>
        <w:pStyle w:val="ConsPlusTitle"/>
        <w:jc w:val="center"/>
      </w:pPr>
      <w:r>
        <w:t>03.06.01 ФИЗИКА И АСТРОНОМИЯ</w:t>
      </w:r>
    </w:p>
    <w:p w:rsidR="00640F30" w:rsidRDefault="00640F30">
      <w:pPr>
        <w:pStyle w:val="ConsPlusNormal"/>
        <w:jc w:val="center"/>
      </w:pPr>
      <w:r>
        <w:lastRenderedPageBreak/>
        <w:t>Список изменяющих документов</w:t>
      </w:r>
    </w:p>
    <w:p w:rsidR="00640F30" w:rsidRDefault="00640F3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I. ОБЛАСТЬ ПРИМЕНЕНИЯ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03.06.01 Физика и астрономия (далее соответственно - программа аспирантуры, направление подготовки).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II. ИСПОЛЬЗУЕМЫЕ СОКРАЩЕНИЯ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40F30" w:rsidRDefault="00640F30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640F30" w:rsidRDefault="00640F30">
      <w:pPr>
        <w:pStyle w:val="ConsPlusNormal"/>
        <w:ind w:firstLine="540"/>
        <w:jc w:val="both"/>
      </w:pPr>
      <w:r>
        <w:t>УК - универсальные компетенции;</w:t>
      </w:r>
    </w:p>
    <w:p w:rsidR="00640F30" w:rsidRDefault="00640F3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40F30" w:rsidRDefault="00640F30">
      <w:pPr>
        <w:pStyle w:val="ConsPlusNormal"/>
        <w:ind w:firstLine="540"/>
        <w:jc w:val="both"/>
      </w:pPr>
      <w:r>
        <w:t>ПК - профессиональные компетенции;</w:t>
      </w:r>
    </w:p>
    <w:p w:rsidR="00640F30" w:rsidRDefault="00640F3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40F30" w:rsidRDefault="00640F3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III. ХАРАКТЕРИСТИКА НАПРАВЛЕНИЯ ПОДГОТОВКИ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640F30" w:rsidRDefault="00640F3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640F30" w:rsidRDefault="00640F30">
      <w:pPr>
        <w:pStyle w:val="ConsPlusNormal"/>
        <w:ind w:firstLine="540"/>
        <w:jc w:val="both"/>
      </w:pPr>
      <w:r>
        <w:t>Объем программы аспирантуры составляет 240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640F30" w:rsidRDefault="00640F30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640F30" w:rsidRDefault="00640F3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640F30" w:rsidRDefault="00640F30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640F30" w:rsidRDefault="00640F3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640F30" w:rsidRDefault="00640F30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640F30" w:rsidRDefault="00640F30">
      <w:pPr>
        <w:pStyle w:val="ConsPlusNormal"/>
        <w:ind w:firstLine="540"/>
        <w:jc w:val="both"/>
      </w:pPr>
      <w:r>
        <w:t xml:space="preserve">При обучении лиц с ограниченными возможностями здоровья электронное обучение и </w:t>
      </w:r>
      <w:r>
        <w:lastRenderedPageBreak/>
        <w:t>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F30" w:rsidRDefault="00640F30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640F30" w:rsidRDefault="00640F30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IV. ХАРАКТЕРИСТИКА ПРОФЕССИОНАЛЬНОЙ ДЕЯТЕЛЬНОСТИ</w:t>
      </w:r>
    </w:p>
    <w:p w:rsidR="00640F30" w:rsidRDefault="00640F30">
      <w:pPr>
        <w:pStyle w:val="ConsPlusNormal"/>
        <w:jc w:val="center"/>
      </w:pPr>
      <w:r>
        <w:t>ВЫПУСКНИКОВ, ОСВОИВШИХ ПРОГРАММУ АСПИРАНТУРЫ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640F30" w:rsidRDefault="00640F3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 физические системы различного масштаба и уровней организации, процессы их функционирования, физические, инженерно-физические,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640F30" w:rsidRDefault="00640F3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640F30" w:rsidRDefault="00640F30">
      <w:pPr>
        <w:pStyle w:val="ConsPlusNormal"/>
        <w:ind w:firstLine="540"/>
        <w:jc w:val="both"/>
      </w:pPr>
      <w:r>
        <w:t>научно-исследовательская деятельность в области физики и астрономии;</w:t>
      </w:r>
    </w:p>
    <w:p w:rsidR="00640F30" w:rsidRDefault="00640F30">
      <w:pPr>
        <w:pStyle w:val="ConsPlusNormal"/>
        <w:ind w:firstLine="540"/>
        <w:jc w:val="both"/>
      </w:pPr>
      <w:r>
        <w:t>преподавательская деятельность в области физики и астрономии.</w:t>
      </w:r>
    </w:p>
    <w:p w:rsidR="00640F30" w:rsidRDefault="00640F30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V. ТРЕБОВАНИЯ К РЕЗУЛЬТАТАМ ОСВОЕНИЯ ПРОГРАММЫ АСПИРАНТУРЫ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640F30" w:rsidRDefault="00640F30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640F30" w:rsidRDefault="00640F30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640F30" w:rsidRDefault="00640F30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640F30" w:rsidRDefault="00640F30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640F30" w:rsidRDefault="00640F30">
      <w:pPr>
        <w:pStyle w:val="ConsPlusNormal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640F30" w:rsidRDefault="00640F30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640F30" w:rsidRDefault="00640F30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640F30" w:rsidRDefault="00640F30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640F30" w:rsidRDefault="00640F30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640F30" w:rsidRDefault="00640F30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640F30" w:rsidRDefault="00640F30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640F30" w:rsidRDefault="00640F30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640F30" w:rsidRDefault="00640F30">
      <w:pPr>
        <w:pStyle w:val="ConsPlusNormal"/>
        <w:ind w:firstLine="540"/>
        <w:jc w:val="both"/>
      </w:pPr>
      <w:r>
        <w:lastRenderedPageBreak/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640F30" w:rsidRDefault="00640F30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640F30" w:rsidRDefault="00640F30">
      <w:pPr>
        <w:pStyle w:val="ConsPlusNormal"/>
        <w:ind w:firstLine="540"/>
        <w:jc w:val="both"/>
      </w:pPr>
      <w:r>
        <w:t>--------------------------------</w:t>
      </w:r>
    </w:p>
    <w:p w:rsidR="00640F30" w:rsidRDefault="00640F3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VI. ТРЕБОВАНИЯ К СТРУКТУРЕ ПРОГРАММЫ АСПИРАНТУРЫ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640F30" w:rsidRDefault="00640F30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640F30" w:rsidRDefault="00640F30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40F30" w:rsidRDefault="00640F30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640F30" w:rsidRDefault="00640F30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640F30" w:rsidRDefault="00640F3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Структура программы аспирантуры</w:t>
      </w:r>
    </w:p>
    <w:p w:rsidR="00640F30" w:rsidRDefault="00640F30">
      <w:pPr>
        <w:sectPr w:rsidR="00640F30" w:rsidSect="00305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right"/>
      </w:pPr>
      <w:r>
        <w:t>Таблица</w:t>
      </w:r>
    </w:p>
    <w:p w:rsidR="00640F30" w:rsidRDefault="00640F3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871"/>
      </w:tblGrid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1871" w:type="dxa"/>
          </w:tcPr>
          <w:p w:rsidR="00640F30" w:rsidRDefault="00640F30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1871" w:type="dxa"/>
          </w:tcPr>
          <w:p w:rsidR="00640F30" w:rsidRDefault="00640F30">
            <w:pPr>
              <w:pStyle w:val="ConsPlusNormal"/>
              <w:jc w:val="center"/>
            </w:pPr>
            <w:r>
              <w:t>30</w:t>
            </w: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71" w:type="dxa"/>
            <w:vMerge w:val="restart"/>
          </w:tcPr>
          <w:p w:rsidR="00640F30" w:rsidRDefault="00640F30">
            <w:pPr>
              <w:pStyle w:val="ConsPlusNormal"/>
              <w:jc w:val="center"/>
            </w:pPr>
            <w:r>
              <w:t>9</w:t>
            </w: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871" w:type="dxa"/>
            <w:vMerge/>
          </w:tcPr>
          <w:p w:rsidR="00640F30" w:rsidRDefault="00640F30"/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Вариативная часть</w:t>
            </w:r>
          </w:p>
          <w:p w:rsidR="00640F30" w:rsidRDefault="00640F30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640F30" w:rsidRDefault="00640F30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871" w:type="dxa"/>
          </w:tcPr>
          <w:p w:rsidR="00640F30" w:rsidRDefault="00640F30">
            <w:pPr>
              <w:pStyle w:val="ConsPlusNormal"/>
              <w:jc w:val="center"/>
            </w:pPr>
            <w:r>
              <w:t>21</w:t>
            </w: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1871" w:type="dxa"/>
            <w:vMerge w:val="restart"/>
            <w:tcBorders>
              <w:bottom w:val="nil"/>
            </w:tcBorders>
            <w:vAlign w:val="center"/>
          </w:tcPr>
          <w:p w:rsidR="00640F30" w:rsidRDefault="00640F30">
            <w:pPr>
              <w:pStyle w:val="ConsPlusNormal"/>
              <w:jc w:val="center"/>
            </w:pP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640F30" w:rsidRDefault="00640F30"/>
        </w:tc>
      </w:tr>
      <w:tr w:rsidR="00640F30">
        <w:tblPrEx>
          <w:tblBorders>
            <w:insideH w:val="nil"/>
          </w:tblBorders>
        </w:tblPrEx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40F30" w:rsidRDefault="00640F30">
            <w:pPr>
              <w:pStyle w:val="ConsPlusNormal"/>
              <w:jc w:val="center"/>
            </w:pPr>
            <w:r>
              <w:t>201</w:t>
            </w:r>
          </w:p>
        </w:tc>
      </w:tr>
      <w:tr w:rsidR="00640F30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640F30" w:rsidRDefault="00640F3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40F30" w:rsidRDefault="00640F30">
            <w:pPr>
              <w:pStyle w:val="ConsPlusNormal"/>
              <w:jc w:val="both"/>
            </w:pPr>
          </w:p>
        </w:tc>
      </w:tr>
      <w:tr w:rsidR="00640F30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640F30" w:rsidRDefault="00640F30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Блок 4 "Государственная итоговая аттестация"</w:t>
            </w:r>
          </w:p>
        </w:tc>
        <w:tc>
          <w:tcPr>
            <w:tcW w:w="1871" w:type="dxa"/>
            <w:vMerge w:val="restart"/>
          </w:tcPr>
          <w:p w:rsidR="00640F30" w:rsidRDefault="00640F30">
            <w:pPr>
              <w:pStyle w:val="ConsPlusNormal"/>
              <w:jc w:val="center"/>
            </w:pPr>
            <w:r>
              <w:t>9</w:t>
            </w:r>
          </w:p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71" w:type="dxa"/>
            <w:vMerge/>
          </w:tcPr>
          <w:p w:rsidR="00640F30" w:rsidRDefault="00640F30"/>
        </w:tc>
      </w:tr>
      <w:tr w:rsidR="00640F30">
        <w:tc>
          <w:tcPr>
            <w:tcW w:w="7710" w:type="dxa"/>
          </w:tcPr>
          <w:p w:rsidR="00640F30" w:rsidRDefault="00640F30">
            <w:pPr>
              <w:pStyle w:val="ConsPlusNormal"/>
              <w:jc w:val="both"/>
            </w:pPr>
            <w:r>
              <w:t>Объем программы аспирантуры</w:t>
            </w:r>
          </w:p>
        </w:tc>
        <w:tc>
          <w:tcPr>
            <w:tcW w:w="1871" w:type="dxa"/>
          </w:tcPr>
          <w:p w:rsidR="00640F30" w:rsidRDefault="00640F30">
            <w:pPr>
              <w:pStyle w:val="ConsPlusNormal"/>
              <w:jc w:val="center"/>
            </w:pPr>
            <w:r>
              <w:t>240</w:t>
            </w:r>
          </w:p>
        </w:tc>
      </w:tr>
    </w:tbl>
    <w:p w:rsidR="00640F30" w:rsidRDefault="00640F30">
      <w:pPr>
        <w:sectPr w:rsidR="00640F30">
          <w:pgSz w:w="16838" w:h="11905"/>
          <w:pgMar w:top="1701" w:right="1134" w:bottom="850" w:left="1134" w:header="0" w:footer="0" w:gutter="0"/>
          <w:cols w:space="720"/>
        </w:sectPr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640F30" w:rsidRDefault="00640F30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640F30" w:rsidRDefault="00640F30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640F30" w:rsidRDefault="00640F30">
      <w:pPr>
        <w:pStyle w:val="ConsPlusNormal"/>
        <w:ind w:firstLine="540"/>
        <w:jc w:val="both"/>
      </w:pPr>
      <w:r>
        <w:t>--------------------------------</w:t>
      </w:r>
    </w:p>
    <w:p w:rsidR="00640F30" w:rsidRDefault="00640F3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640F30" w:rsidRDefault="00640F30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640F30" w:rsidRDefault="00640F30">
      <w:pPr>
        <w:pStyle w:val="ConsPlusNormal"/>
        <w:ind w:firstLine="540"/>
        <w:jc w:val="both"/>
      </w:pPr>
      <w:r>
        <w:t>Способы проведения практики:</w:t>
      </w:r>
    </w:p>
    <w:p w:rsidR="00640F30" w:rsidRDefault="00640F30">
      <w:pPr>
        <w:pStyle w:val="ConsPlusNormal"/>
        <w:ind w:firstLine="540"/>
        <w:jc w:val="both"/>
      </w:pPr>
      <w:r>
        <w:t>стационарная;</w:t>
      </w:r>
    </w:p>
    <w:p w:rsidR="00640F30" w:rsidRDefault="00640F30">
      <w:pPr>
        <w:pStyle w:val="ConsPlusNormal"/>
        <w:ind w:firstLine="540"/>
        <w:jc w:val="both"/>
      </w:pPr>
      <w:r>
        <w:t>выездная.</w:t>
      </w:r>
    </w:p>
    <w:p w:rsidR="00640F30" w:rsidRDefault="00640F30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640F30" w:rsidRDefault="00640F30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40F30" w:rsidRDefault="00640F30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640F30" w:rsidRDefault="00640F30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640F30" w:rsidRDefault="00640F30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640F30" w:rsidRDefault="00640F30">
      <w:pPr>
        <w:pStyle w:val="ConsPlusNormal"/>
        <w:ind w:firstLine="540"/>
        <w:jc w:val="both"/>
      </w:pPr>
      <w:r>
        <w:t>--------------------------------</w:t>
      </w:r>
    </w:p>
    <w:p w:rsidR="00640F30" w:rsidRDefault="00640F3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640F30" w:rsidRDefault="00640F30">
      <w:pPr>
        <w:pStyle w:val="ConsPlusNormal"/>
        <w:ind w:firstLine="540"/>
        <w:jc w:val="both"/>
      </w:pPr>
    </w:p>
    <w:p w:rsidR="00640F30" w:rsidRDefault="00640F30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640F30" w:rsidRDefault="00640F30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center"/>
      </w:pPr>
      <w:r>
        <w:t>VII. ТРЕБОВАНИЯ К УСЛОВИЯМ РЕАЛИЗАЦИИ ПРОГРАММЫ АСПИРАНТУРЫ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7.1. Общесистемные требования к реализации программы аспирантуры.</w:t>
      </w:r>
    </w:p>
    <w:p w:rsidR="00640F30" w:rsidRDefault="00640F30">
      <w:pPr>
        <w:pStyle w:val="ConsPlusNormal"/>
        <w:ind w:firstLine="540"/>
        <w:jc w:val="both"/>
      </w:pPr>
      <w:r>
        <w:t xml:space="preserve">7.1.1. </w:t>
      </w:r>
      <w:proofErr w:type="gramStart"/>
      <w:r>
        <w:t xml:space="preserve">Организация должна располагать материально-технической базой, соответствующей </w:t>
      </w:r>
      <w:r>
        <w:lastRenderedPageBreak/>
        <w:t>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640F30" w:rsidRDefault="00640F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</w:t>
      </w:r>
      <w:proofErr w:type="gramStart"/>
      <w:r>
        <w:t>организации</w:t>
      </w:r>
      <w:proofErr w:type="gramEnd"/>
      <w:r>
        <w:t xml:space="preserve"> как на территории организации, так и вне ее.</w:t>
      </w:r>
    </w:p>
    <w:p w:rsidR="00640F30" w:rsidRDefault="00640F3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40F30" w:rsidRDefault="00640F3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640F30" w:rsidRDefault="00640F3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40F30" w:rsidRDefault="00640F3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40F30" w:rsidRDefault="00640F3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40F30" w:rsidRDefault="00640F3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40F30" w:rsidRDefault="00640F3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40F30" w:rsidRDefault="00640F30">
      <w:pPr>
        <w:pStyle w:val="ConsPlusNormal"/>
        <w:ind w:firstLine="540"/>
        <w:jc w:val="both"/>
      </w:pPr>
      <w:r>
        <w:t>--------------------------------</w:t>
      </w:r>
    </w:p>
    <w:p w:rsidR="00640F30" w:rsidRDefault="00640F3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640F30" w:rsidRDefault="00640F30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640F30" w:rsidRDefault="00640F3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</w:t>
      </w:r>
      <w:r>
        <w:lastRenderedPageBreak/>
        <w:t>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640F30" w:rsidRDefault="00640F3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640F30" w:rsidRDefault="00640F30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640F30" w:rsidRDefault="00640F30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640F30" w:rsidRDefault="00640F30">
      <w:pPr>
        <w:pStyle w:val="ConsPlusNormal"/>
        <w:ind w:firstLine="540"/>
        <w:jc w:val="both"/>
      </w:pPr>
      <w:r>
        <w:t>--------------------------------</w:t>
      </w:r>
    </w:p>
    <w:p w:rsidR="00640F30" w:rsidRDefault="00640F3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ind w:firstLine="540"/>
        <w:jc w:val="both"/>
      </w:pPr>
      <w:r>
        <w:t>7.2. Требования к кадровым условиям реализации программы аспирантуры.</w:t>
      </w:r>
    </w:p>
    <w:p w:rsidR="00640F30" w:rsidRDefault="00640F30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640F30" w:rsidRDefault="00640F30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75 процентов.</w:t>
      </w:r>
      <w:proofErr w:type="gramEnd"/>
    </w:p>
    <w:p w:rsidR="00640F30" w:rsidRDefault="00640F30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640F30" w:rsidRDefault="00640F3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ind w:firstLine="540"/>
        <w:jc w:val="both"/>
      </w:pPr>
    </w:p>
    <w:p w:rsidR="00640F30" w:rsidRDefault="00640F30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640F30" w:rsidRDefault="00640F30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640F30" w:rsidRDefault="00640F30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</w:t>
      </w:r>
      <w:r>
        <w:lastRenderedPageBreak/>
        <w:t>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640F30" w:rsidRDefault="00640F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40F30" w:rsidRDefault="00640F3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40F30" w:rsidRDefault="00640F3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40F30" w:rsidRDefault="00640F3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40F30" w:rsidRDefault="00640F3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40F30" w:rsidRDefault="00640F30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640F30" w:rsidRDefault="00640F30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640F30" w:rsidRDefault="00640F3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640F30" w:rsidRDefault="00640F30">
      <w:pPr>
        <w:pStyle w:val="ConsPlusNormal"/>
        <w:ind w:firstLine="540"/>
        <w:jc w:val="both"/>
      </w:pPr>
    </w:p>
    <w:p w:rsidR="00640F30" w:rsidRDefault="00640F30">
      <w:pPr>
        <w:pStyle w:val="ConsPlusNormal"/>
        <w:ind w:firstLine="540"/>
        <w:jc w:val="both"/>
      </w:pPr>
      <w:r>
        <w:t>7.4. Требования к финансовому обеспечению программы аспирантуры.</w:t>
      </w:r>
    </w:p>
    <w:p w:rsidR="00640F30" w:rsidRDefault="00640F3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jc w:val="both"/>
      </w:pPr>
    </w:p>
    <w:p w:rsidR="00640F30" w:rsidRDefault="00640F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27C" w:rsidRDefault="0073227C">
      <w:bookmarkStart w:id="1" w:name="_GoBack"/>
      <w:bookmarkEnd w:id="1"/>
    </w:p>
    <w:sectPr w:rsidR="0073227C" w:rsidSect="00A13A9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30"/>
    <w:rsid w:val="005D588F"/>
    <w:rsid w:val="00640F30"/>
    <w:rsid w:val="007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F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F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86602050FA5DF17A83B5E185F48230D9653957DB662C44FE8E3F15569845B943F4C9029772AC3bFzDN" TargetMode="External"/><Relationship Id="rId13" Type="http://schemas.openxmlformats.org/officeDocument/2006/relationships/hyperlink" Target="consultantplus://offline/ref=D7D86602050FA5DF17A83B5E185F48230D965D9479B362C44FE8E3F15569845B943F4C9029772AC4bFzFN" TargetMode="External"/><Relationship Id="rId18" Type="http://schemas.openxmlformats.org/officeDocument/2006/relationships/hyperlink" Target="consultantplus://offline/ref=D7D86602050FA5DF17A83B5E185F48230D985B977BB162C44FE8E3F15569845B943F4C9029772ACFbFzCN" TargetMode="External"/><Relationship Id="rId26" Type="http://schemas.openxmlformats.org/officeDocument/2006/relationships/hyperlink" Target="consultantplus://offline/ref=D7D86602050FA5DF17A83B5E185F48230D9559927DB162C44FE8E3F15569845B943F4C9029772AC6bFz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D86602050FA5DF17A83B5E185F48230D9159977CB762C44FE8E3F15569845B943F4C9029772AC6bFzFN" TargetMode="External"/><Relationship Id="rId7" Type="http://schemas.openxmlformats.org/officeDocument/2006/relationships/hyperlink" Target="consultantplus://offline/ref=D7D86602050FA5DF17A83B5E185F48230D985A9778B962C44FE8E3F15569845B943F4C9029772AC1bFzEN" TargetMode="External"/><Relationship Id="rId12" Type="http://schemas.openxmlformats.org/officeDocument/2006/relationships/hyperlink" Target="consultantplus://offline/ref=D7D86602050FA5DF17A83B5E185F48230D985B977BB162C44FE8E3F15569845B943F4C9029772AC0bFzBN" TargetMode="External"/><Relationship Id="rId17" Type="http://schemas.openxmlformats.org/officeDocument/2006/relationships/hyperlink" Target="consultantplus://offline/ref=D7D86602050FA5DF17A83B5E185F48230D985B977BB162C44FE8E3F15569845B943F4C9029772AC0bFz7N" TargetMode="External"/><Relationship Id="rId25" Type="http://schemas.openxmlformats.org/officeDocument/2006/relationships/hyperlink" Target="consultantplus://offline/ref=D7D86602050FA5DF17A83B5E185F48230D985B977BB162C44FE8E3F15569845B943F4C9029772ACFbFz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D86602050FA5DF17A83B5E185F48230D965D9479B362C44FE8E3F15569845B943F4C9029772AC1bFz7N" TargetMode="External"/><Relationship Id="rId20" Type="http://schemas.openxmlformats.org/officeDocument/2006/relationships/hyperlink" Target="consultantplus://offline/ref=D7D86602050FA5DF17A83B5E185F48230D97539479B862C44FE8E3F155b6z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D86602050FA5DF17A83B5E185F48230D985B977BB162C44FE8E3F15569845B943F4C9029772AC0bFzEN" TargetMode="External"/><Relationship Id="rId11" Type="http://schemas.openxmlformats.org/officeDocument/2006/relationships/hyperlink" Target="consultantplus://offline/ref=D7D86602050FA5DF17A83B5E185F48230D985B977BB162C44FE8E3F15569845B943F4C9029772AC0bFzCN" TargetMode="External"/><Relationship Id="rId24" Type="http://schemas.openxmlformats.org/officeDocument/2006/relationships/hyperlink" Target="consultantplus://offline/ref=D7D86602050FA5DF17A83B5E185F48230D985B977BB162C44FE8E3F15569845B943F4C9029772ACFbFz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7D86602050FA5DF17A83B5E185F48230D965D9479B362C44FE8E3F15569845B943F4C9029772AC1bFzAN" TargetMode="External"/><Relationship Id="rId23" Type="http://schemas.openxmlformats.org/officeDocument/2006/relationships/hyperlink" Target="consultantplus://offline/ref=D7D86602050FA5DF17A83B5E185F48230D955B967BB962C44FE8E3F15569845B943F4C9029772AC6bFz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7D86602050FA5DF17A83B5E185F48230D985A9778B962C44FE8E3F15569845B943F4C90297728C7bFzFN" TargetMode="External"/><Relationship Id="rId19" Type="http://schemas.openxmlformats.org/officeDocument/2006/relationships/hyperlink" Target="consultantplus://offline/ref=D7D86602050FA5DF17A83B5E185F48230D97539478B062C44FE8E3F155b6z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D86602050FA5DF17A83B5E185F48230D985B977BB162C44FE8E3F15569845B943F4C9029772AC0bFzEN" TargetMode="External"/><Relationship Id="rId14" Type="http://schemas.openxmlformats.org/officeDocument/2006/relationships/hyperlink" Target="consultantplus://offline/ref=D7D86602050FA5DF17A83B5E185F48230D985B977BB162C44FE8E3F15569845B943F4C9029772AC0bFzAN" TargetMode="External"/><Relationship Id="rId22" Type="http://schemas.openxmlformats.org/officeDocument/2006/relationships/hyperlink" Target="consultantplus://offline/ref=D7D86602050FA5DF17A83B5E185F48230D965D9479B362C44FE8E3F15569845B943F4C9029772AC2bFzD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Koroleva</dc:creator>
  <cp:lastModifiedBy>Elena Koroleva</cp:lastModifiedBy>
  <cp:revision>1</cp:revision>
  <dcterms:created xsi:type="dcterms:W3CDTF">2015-10-30T13:51:00Z</dcterms:created>
  <dcterms:modified xsi:type="dcterms:W3CDTF">2015-10-30T13:52:00Z</dcterms:modified>
</cp:coreProperties>
</file>